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5"/>
        <w:keepNext/>
        <w:keepLines/>
        <w:widowControl w:val="0"/>
        <w:shd w:val="clear" w:color="auto" w:fill="auto"/>
        <w:bidi w:val="0"/>
        <w:spacing w:before="320" w:after="620" w:line="276" w:lineRule="auto"/>
        <w:ind w:left="1820" w:right="0" w:hanging="860"/>
        <w:jc w:val="left"/>
      </w:pPr>
      <w:bookmarkStart w:id="0" w:name="bookmark0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Справка о деятельности Комплексного центра социального обслуживания и реабилитации «Балашихинский» за 2025 г.</w:t>
      </w:r>
      <w:bookmarkEnd w:id="0"/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54" w:val="left"/>
        </w:tabs>
        <w:bidi w:val="0"/>
        <w:spacing w:before="0" w:after="0" w:line="295" w:lineRule="auto"/>
        <w:ind w:left="340" w:right="0" w:hanging="34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Наименование учреждения: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Государственное бюджетное учреждение социального обслуживания Московской области «Комплексный центр социального обслуживания и реабилитации «Балашихинский»</w:t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63" w:val="left"/>
        </w:tabs>
        <w:bidi w:val="0"/>
        <w:spacing w:before="0" w:after="0" w:line="295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Почтовый адрес основной: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143966, Московская область, г. Реутов, ул. Лесная, д. 8А</w:t>
      </w:r>
    </w:p>
    <w:p>
      <w:pPr>
        <w:pStyle w:val="Style5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63" w:val="left"/>
        </w:tabs>
        <w:bidi w:val="0"/>
        <w:spacing w:before="0" w:after="0" w:line="295" w:lineRule="auto"/>
        <w:ind w:left="0" w:right="0" w:firstLine="0"/>
        <w:jc w:val="left"/>
      </w:pPr>
      <w:bookmarkStart w:id="2" w:name="bookmark2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Директор учреждения, телефон:</w:t>
      </w:r>
      <w:bookmarkEnd w:id="2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Садилова Ольга Алексеевна, приемная - 8(495) 528-82-81</w:t>
      </w:r>
    </w:p>
    <w:p>
      <w:pPr>
        <w:pStyle w:val="Style5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100" w:line="240" w:lineRule="auto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е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-mail</w:t>
      </w:r>
      <w:r>
        <w:fldChar w:fldCharType="begin"/>
      </w:r>
      <w:r>
        <w:rPr/>
        <w:instrText> HYPERLINK "mailto:gbuso.mkcson@mosreg.ru" </w:instrText>
      </w:r>
      <w:r>
        <w:fldChar w:fldCharType="separate"/>
      </w:r>
      <w:r>
        <w:rPr>
          <w:b w:val="0"/>
          <w:bCs w:val="0"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>gbuso.mkcson@mosreg.ru</w:t>
      </w:r>
      <w:bookmarkEnd w:id="4"/>
      <w:r>
        <w:fldChar w:fldCharType="end"/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сайт:</w:t>
      </w:r>
      <w:r>
        <w:fldChar w:fldCharType="begin"/>
      </w:r>
      <w:r>
        <w:rPr/>
        <w:instrText> HYPERLINK "https://balcso.ru/" </w:instrText>
      </w:r>
      <w:r>
        <w:fldChar w:fldCharType="separate"/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 </w:t>
      </w:r>
      <w:r>
        <w:rPr>
          <w:color w:val="0000FF"/>
          <w:spacing w:val="0"/>
          <w:w w:val="100"/>
          <w:position w:val="0"/>
          <w:sz w:val="24"/>
          <w:szCs w:val="24"/>
          <w:u w:val="single"/>
          <w:shd w:val="clear" w:color="auto" w:fill="auto"/>
          <w:lang w:val="en-US" w:eastAsia="en-US" w:bidi="en-US"/>
        </w:rPr>
        <w:t>https://balcso.ru/</w:t>
      </w:r>
      <w:r>
        <w:fldChar w:fldCharType="end"/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10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Да</w:t>
      </w:r>
      <w:r>
        <w:fldChar w:fldCharType="begin"/>
      </w:r>
      <w:r>
        <w:rPr/>
        <w:instrText> HYPERLINK "http://balcso.ru/" </w:instrText>
      </w:r>
      <w:r>
        <w:fldChar w:fldCharType="separate"/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та открытия учрежде</w:t>
      </w:r>
      <w:r>
        <w:fldChar w:fldCharType="end"/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ния: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13 сентября 2022 года</w:t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16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Дата последней реорганизации: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13 сентября 2022 года</w:t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160" w:line="221" w:lineRule="auto"/>
        <w:ind w:left="0" w:right="0" w:firstLine="0"/>
        <w:jc w:val="left"/>
        <w:rPr>
          <w:sz w:val="26"/>
          <w:szCs w:val="26"/>
        </w:rPr>
      </w:pPr>
      <w:r>
        <w:rPr>
          <w:b/>
          <w:bCs/>
          <w:color w:val="1A1A1A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Учредителем является Министерство социального развития Московской области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100" w:line="221" w:lineRule="auto"/>
        <w:ind w:left="0" w:right="0" w:firstLine="0"/>
        <w:jc w:val="left"/>
        <w:rPr>
          <w:sz w:val="26"/>
          <w:szCs w:val="26"/>
        </w:rPr>
      </w:pPr>
      <w:r>
        <w:rPr>
          <w:color w:val="1A1A1A"/>
          <w:spacing w:val="0"/>
          <w:w w:val="100"/>
          <w:position w:val="0"/>
          <w:sz w:val="26"/>
          <w:szCs w:val="26"/>
          <w:shd w:val="clear" w:color="auto" w:fill="auto"/>
          <w:lang w:val="ru-RU" w:eastAsia="ru-RU" w:bidi="ru-RU"/>
        </w:rPr>
        <w:t>тел. 8 (498) 602-84-50</w:t>
      </w:r>
    </w:p>
    <w:p>
      <w:pPr>
        <w:pStyle w:val="Style15"/>
        <w:keepNext/>
        <w:keepLines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bookmarkStart w:id="6" w:name="bookmark6"/>
      <w:r>
        <w:rPr>
          <w:spacing w:val="0"/>
          <w:w w:val="100"/>
          <w:position w:val="0"/>
          <w:shd w:val="clear" w:color="auto" w:fill="auto"/>
        </w:rPr>
        <w:t xml:space="preserve">email: </w:t>
      </w:r>
      <w:r>
        <w:fldChar w:fldCharType="begin"/>
      </w:r>
      <w:r>
        <w:rPr/>
        <w:instrText> HYPERLINK "mailto:msrmo@mosreg.ru" </w:instrText>
      </w:r>
      <w:r>
        <w:fldChar w:fldCharType="separate"/>
      </w:r>
      <w:r>
        <w:rPr>
          <w:color w:val="337AB7"/>
          <w:spacing w:val="0"/>
          <w:w w:val="100"/>
          <w:position w:val="0"/>
          <w:u w:val="single"/>
          <w:shd w:val="clear" w:color="auto" w:fill="auto"/>
        </w:rPr>
        <w:t>msrmo@mosreg.ru</w:t>
      </w:r>
      <w:bookmarkEnd w:id="6"/>
      <w:r>
        <w:fldChar w:fldCharType="end"/>
      </w:r>
    </w:p>
    <w:p>
      <w:pPr>
        <w:pStyle w:val="Style15"/>
        <w:keepNext/>
        <w:keepLines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spacing w:val="0"/>
          <w:w w:val="100"/>
          <w:position w:val="0"/>
          <w:shd w:val="clear" w:color="auto" w:fill="auto"/>
          <w:lang w:val="ru-RU" w:eastAsia="ru-RU" w:bidi="ru-RU"/>
        </w:rPr>
        <w:t xml:space="preserve">сайт: </w:t>
      </w:r>
      <w:r>
        <w:rPr>
          <w:spacing w:val="0"/>
          <w:w w:val="100"/>
          <w:position w:val="0"/>
          <w:shd w:val="clear" w:color="auto" w:fill="auto"/>
        </w:rPr>
        <w:t>msr.mosreg.ru</w:t>
      </w:r>
    </w:p>
    <w:p>
      <w:pPr>
        <w:pStyle w:val="Style5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358" w:val="left"/>
        </w:tabs>
        <w:bidi w:val="0"/>
        <w:spacing w:before="0" w:after="0" w:line="240" w:lineRule="auto"/>
        <w:ind w:left="0"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Специалисты, квалификация, численность (чел.):</w:t>
      </w:r>
      <w:bookmarkEnd w:id="9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Специалисты, квалификация, численность (чел.):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Заведующий отделением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- 15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чел., из них: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15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чел.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высшее образование.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Социальные работники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- 3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 из них: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начальное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Психологи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- 13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чел., из них с высшим образованием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- 13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Специалисты по реабилитационной работе в социальной сфере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- 16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чел., из них с высшим образованием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- 16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Специалисты по социальной работе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- 28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 из них: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высшее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Медицинские работники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- 64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 из них: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высшее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- 36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начальное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Педагогические работники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- 25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 из них: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высшее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- 20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- 5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Общеотраслевые работники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- 23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 из них: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высшее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- 19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среднее профессиональное образование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- 4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чел., Численность сотрудников учреждения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en-US" w:eastAsia="en-US" w:bidi="en-US"/>
        </w:rPr>
        <w:t xml:space="preserve">- 255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чел.</w:t>
      </w:r>
    </w:p>
    <w:p>
      <w:pPr>
        <w:pStyle w:val="Style5"/>
        <w:keepNext/>
        <w:keepLines/>
        <w:widowControl w:val="0"/>
        <w:numPr>
          <w:ilvl w:val="0"/>
          <w:numId w:val="3"/>
        </w:numPr>
        <w:shd w:val="clear" w:color="auto" w:fill="auto"/>
        <w:tabs>
          <w:tab w:pos="469" w:val="left"/>
        </w:tabs>
        <w:bidi w:val="0"/>
        <w:spacing w:before="0" w:after="0" w:line="240" w:lineRule="auto"/>
        <w:ind w:left="0" w:right="0" w:firstLine="0"/>
        <w:jc w:val="left"/>
      </w:pPr>
      <w:bookmarkStart w:id="11" w:name="bookmark11"/>
      <w:r>
        <w:rPr>
          <w:color w:val="000000"/>
          <w:spacing w:val="0"/>
          <w:w w:val="100"/>
          <w:position w:val="0"/>
          <w:sz w:val="24"/>
          <w:szCs w:val="24"/>
          <w:u w:val="single"/>
          <w:shd w:val="clear" w:color="auto" w:fill="auto"/>
          <w:lang w:val="ru-RU" w:eastAsia="ru-RU" w:bidi="ru-RU"/>
        </w:rPr>
        <w:t>Структура учреждения:</w:t>
      </w:r>
      <w:bookmarkEnd w:id="11"/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социальной реабилитации №1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г.о. Балашиха, ул. Свердлова, д. 9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70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1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пожилого возраста и инвалиды старше 18 лет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14" w:name="bookmark14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социальной реабилитации №2</w:t>
      </w:r>
      <w:bookmarkEnd w:id="14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ул. Советская, д.3В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15 инвалидов старше 18 лет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реабилитации для детей-инвалидов и детей с ограниченными возможностями</w:t>
      </w:r>
      <w:bookmarkEnd w:id="16"/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здоровья №1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Реутов, ул. Дзержинского, д. 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56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дети-инвалиды и дети с ОВЗ с 3 до 14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19" w:name="bookmark19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реабилитации детей-инвалидов и детей с ограниченными возможностями</w:t>
      </w:r>
      <w:bookmarkEnd w:id="19"/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здоровья №2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Быковского, д.8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47 человек в день.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дети-инвалиды и дети с ограниченными возможностями здоровья с 3 до 14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2" w:name="bookmark22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реабилитации для детей-инвалидов и детей с ограниченными возможностями здоровья №3</w:t>
      </w:r>
      <w:bookmarkEnd w:id="22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ул. Советская, д.3В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26 детей до 18 лет.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дети-инвалиды и дети с ОВЗ с 10 до 18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психолого-педагогического помощи №1</w:t>
      </w:r>
      <w:bookmarkEnd w:id="24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обл.,г. Реутов, ул. Дзержинского, д. 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Мощность:40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возраст с 3 до 18 лет (дети-инвалиды и дети с ОВЗ)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  <w:rPr>
          <w:sz w:val="22"/>
          <w:szCs w:val="22"/>
        </w:rPr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</w:t>
      </w:r>
      <w:r>
        <w:rPr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ru-RU" w:eastAsia="ru-RU" w:bidi="ru-RU"/>
        </w:rPr>
        <w:t>тделение активного долголетия №1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Свердлова, д. 9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50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мужчины старше 60 лет и женщины старше 55 лет, а также лица, получающие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пенсию за выслугу лет, старше 50 лет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активного долголетия №2</w:t>
      </w:r>
      <w:bookmarkEnd w:id="26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Реутов, ул. Новая, д. 3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30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мужчины старше 60 лет и женщины старше 55 лет, а также лица, получающие пенсию за выслугу лет, старше 50 лет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28" w:name="bookmark28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активного долголетия №3</w:t>
      </w:r>
      <w:bookmarkEnd w:id="28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го. Балашиха, мкр. Железнодорожный,, ул. Новая, д. 24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25 человек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09.00-18.00, обед с 13.00-13.45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мужчины старше 60 лет и женщины старше 55 лет, а также лица, получающие пенсию за выслугу лет, старше 50 лет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Стационарное отделение «Пансионат»</w:t>
      </w:r>
      <w:bookmarkEnd w:id="30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Реутов, ул. Лесная, д. 8А.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59 койко-места (из них 9 коммерческих)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14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круглосуточно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пожилого возраста и инвалиды старше 18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32" w:name="bookmark32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Стационарное отделение милосердия для престарелых и инвалидов №1 и №2</w:t>
      </w:r>
      <w:bookmarkEnd w:id="32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Реутов, ул. Лесная, д. 8А.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37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круглосуточно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пожилого возраста и инвалиды старше 18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Стационарное отделение для реабилитации детей и подростков с ограниченными возможностями здоровья</w:t>
      </w:r>
      <w:bookmarkEnd w:id="34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г.о. Балашиха, дер. Федурново, вл.25А.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60 койко-места (из них 35-дети-инвалиды и дети с ОВЗ; 25- сопровождающие)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согласно графику заездов (21 день)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дети-инвалиды и дети с ОВЗ от 2,5 до 18 лет, сопровождающие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6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(родители, законные представители)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300" w:lineRule="auto"/>
        <w:ind w:left="0" w:right="0" w:firstLine="0"/>
        <w:jc w:val="left"/>
        <w:rPr>
          <w:sz w:val="22"/>
          <w:szCs w:val="22"/>
        </w:rPr>
      </w:pPr>
      <w:r>
        <w:rPr>
          <w:b/>
          <w:bCs/>
          <w:color w:val="000000"/>
          <w:spacing w:val="0"/>
          <w:w w:val="100"/>
          <w:position w:val="0"/>
          <w:sz w:val="22"/>
          <w:szCs w:val="22"/>
          <w:shd w:val="clear" w:color="auto" w:fill="auto"/>
          <w:lang w:val="ru-RU" w:eastAsia="ru-RU" w:bidi="ru-RU"/>
        </w:rPr>
        <w:t>Отделение срочного социального обслуживания №1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Свердлова, д. 9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7 человека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9.00 до 18.00 обед с 13.00 до 13.45.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в трудной жизненной ситуации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36" w:name="bookmark36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срочного социального обслуживания №2</w:t>
      </w:r>
      <w:bookmarkEnd w:id="36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Реутов, ул. Лесная, д. 8А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6 человека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9.00 до 18.00 обед с 13.00 до 13.45.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в трудной жизненной ситуации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38" w:name="bookmark38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срочного социального обслуживания №3</w:t>
      </w:r>
      <w:bookmarkEnd w:id="38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г.о. Балашиха, мкр. Железнодорожный, ул. Новая, д. 24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7 человека в день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9.00 до 18.00 обед с 13.00 до 13.45.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граждане в трудной жизненной ситуации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40" w:name="bookmark40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Отделение социального обслуживания на дому для реабилитации детей - инвалидов и детей с ОВЗ</w:t>
      </w:r>
      <w:bookmarkEnd w:id="40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Быковского, д.8.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27 человек.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9.00 до 18.00 обед с 13.00 до 13.45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дети-инвалиды от 03 до 18 лет.</w:t>
      </w:r>
    </w:p>
    <w:p>
      <w:pPr>
        <w:pStyle w:val="Style5"/>
        <w:keepNext/>
        <w:keepLines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bookmarkStart w:id="42" w:name="bookmark42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Организационно-методическое (консультативное) отделение - служба ранней помощи</w:t>
      </w:r>
      <w:bookmarkEnd w:id="42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Московская обл., г. Балашиха, ул. Быковского, д.8.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Мощность: 20 человек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Режим работы: по рабочим дням с 9.00 до 18.00 обед с 13.00 до 13.45.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300" w:line="276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ПСУ: дети от 0 до 03 лет</w:t>
      </w:r>
    </w:p>
    <w:p>
      <w:pPr>
        <w:pStyle w:val="Style7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423" w:val="left"/>
        </w:tabs>
        <w:bidi w:val="0"/>
        <w:spacing w:before="0" w:after="0" w:line="276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Используемые в работе инновационные технологии: - служба социального такси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 для доставки граждан пожилого возраста и инвалидов, проживающих на территории Московской области, к социально значимым объектам, находящимся в пределах Московской области и г. Москвы;</w:t>
      </w:r>
    </w:p>
    <w:p>
      <w:pPr>
        <w:pStyle w:val="Style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24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пункт проката выдачи ТСР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(технические средства реабилитации) - временное обеспечение на возмездных условиях на согласованный период времени реабилитационными средствами инвалидов и других отдельных категорий граждан, нуждающихся в указанных средствах и проживающих на территории Московской области;</w:t>
      </w:r>
    </w:p>
    <w:p>
      <w:pPr>
        <w:pStyle w:val="Style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24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обучение компьютерной грамотности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 предоставляет возможность пожилым людям общаться посредством сети «Интернет», развивает коммуникативные навыки, умение ориентироваться в современной информационной инфраструктуре, пользоваться информацией для расширения кругозора и всестороннего развития творческих способностей. Детская категория получателей услуг знакомится с азами компьютерной грамотности, учится пользоваться мышью, изучает клавиатуру, печатает текст, пытается создавать фото и видео презентации, нарабатывает умения и навыки в компьютерных играх, развивая пространственное мышление, мелкую моторику, память, внимание и логическое мышление;</w:t>
      </w:r>
    </w:p>
    <w:p>
      <w:pPr>
        <w:pStyle w:val="Style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24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обучение финансовой грамотности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 обучение основным финансовым операциям, которые помогают пожилым людям планировать свой бюджет и приумножать накопления. К ним относятся знание кредитных и страховых продуктов, мер социальной поддержки населения, умение распоряжаться своими банковскими счетами, кредитами и накоплениями. Специалист учреждения принял участие в мероприятиях Банка России по финансовой грамотности: Вебинар онлайн- занятие «Банковские услуги. Выбираем банк в помощники», Вебинар онлайн-занятие «Защита прав потребителей финансовых услуг», Онлайн-урок «Цифровые платежные сервисы «Биометрия»». Совместно с разновозрастной категорией ПСУ, принял участие в мероприятиях по финансовой грамотности: 1. Интерактивный игровой практикум «Кто прав?»; 2. Вебинар онлайн- занятие «Цифровые платежные сервисы «Биометрия» 3.Вебинар онлайн- занятие «Кредиты и займы. Как не иметь проблем с долгами» 4.Вебинар онлайн-занятие.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Дважды в месяц организованы семинары для участников проекта «Активное долголетие» с участием представителей Сбербанка.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«Актуальные вопросы финансовой и юридической грамотности». 5.Онлайн-урок «Как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распознать уловки маркетологов и перестать покупать ненужные вещи». Всего на занятия по финансовой грамотности было привлечено 168 ПСУ.</w:t>
      </w:r>
    </w:p>
    <w:p>
      <w:pPr>
        <w:pStyle w:val="Style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24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реализация проекта Губернатора Московской области «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Активное долголетие»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,</w:t>
      </w:r>
    </w:p>
    <w:p>
      <w:pPr>
        <w:pStyle w:val="Style7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244" w:val="left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реализация проекта «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Мамино время»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. На базе центра с апреля 2023 года реализуется проект минсоцразвития «Мамино Время». В начале года в нем участвовало более 50 мам детей с ограниченными возможностями здоровья и детей-инвалидов. Численность мам, готовых приходить на занятия, составляет 88. Программа создана для женщин, воспитывающих детей- инвалидов и детей с ОВЗ. Во время совместных занятий и общения с единомышленниками мамы особенных детей могут немного расслабиться и восстановить жизненный тонус. В этом им помогают различные активности: фитбол, суставная гимнастика, занятия в творческой студии и психологические тренинги. Благодаря активной работе специалистов и обеспечения новых видов деятельности для мам, нам удалось расширить количество занятий и различных мероприятий для успешной реализации проекта.</w:t>
      </w:r>
    </w:p>
    <w:p>
      <w:pPr>
        <w:pStyle w:val="Style7"/>
        <w:keepNext w:val="0"/>
        <w:keepLines w:val="0"/>
        <w:widowControl w:val="0"/>
        <w:shd w:val="clear" w:color="auto" w:fill="auto"/>
        <w:tabs>
          <w:tab w:pos="3305" w:val="left"/>
        </w:tabs>
        <w:bidi w:val="0"/>
        <w:spacing w:before="0" w:after="0" w:line="240" w:lineRule="auto"/>
        <w:ind w:left="0" w:right="0" w:firstLine="1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 трудовые мастерские:</w:t>
        <w:tab/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швейное дело, кулинария, гончарная мастерская, вязание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8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«амигуруми».</w:t>
      </w:r>
    </w:p>
    <w:p>
      <w:pPr>
        <w:pStyle w:val="Style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20" w:val="left"/>
        </w:tabs>
        <w:bidi w:val="0"/>
        <w:spacing w:before="0" w:after="0" w:line="240" w:lineRule="auto"/>
        <w:ind w:left="1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творческие кружки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театральные студии «Бенефис», «Улыбка», Танцевальный коллектив “Мы в танцах”, семейный клуб «Аленький цветочек», спортивная секции единоборств «Здоровое поколение», интеграционная театральная мастерская «Все и Я», творческая студя «Ника», клубная работа (сопровождение семей, воспитывающих ребенка-инвалида), экстрабилити театр «Сопричастие».</w:t>
      </w:r>
    </w:p>
    <w:p>
      <w:pPr>
        <w:pStyle w:val="Style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20" w:val="left"/>
        </w:tabs>
        <w:bidi w:val="0"/>
        <w:spacing w:before="0" w:after="0" w:line="240" w:lineRule="auto"/>
        <w:ind w:left="1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творческая мастерская «Руковичка»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 активное участие в благотворительных акциях и поддержка бойцов СВО (вязание носков, варежек, плетение маскировочных сетей, изготовление окопных свечей, сбор гуманитарной помощи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);</w:t>
      </w:r>
    </w:p>
    <w:p>
      <w:pPr>
        <w:pStyle w:val="Style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20" w:val="left"/>
        </w:tabs>
        <w:bidi w:val="0"/>
        <w:spacing w:before="0" w:after="0" w:line="240" w:lineRule="auto"/>
        <w:ind w:left="0" w:right="0" w:firstLine="1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виртуальный туризм -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организация экскурсий по историческим местам, музеям, выставкам.</w:t>
      </w:r>
    </w:p>
    <w:p>
      <w:pPr>
        <w:pStyle w:val="Style7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420" w:val="left"/>
        </w:tabs>
        <w:bidi w:val="0"/>
        <w:spacing w:before="0" w:after="0" w:line="240" w:lineRule="auto"/>
        <w:ind w:left="0" w:right="0" w:firstLine="18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настольные игры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для всех категорий получателей социальных услуг,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8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- исторические танцы.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 xml:space="preserve">Организована работа клуба исторического танца «Подеграс». Основными целями и задачами работы клуба являются: повышение физической активности, 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функциональных возможностей организма, развитие и коррекция когнитивных функций, синхронизация работы полушарий головного мозга, координация движений, изучение теории и практики исторических танцев. Танцевальная студия является активным участником городских танцевальных программ и областных мероприятий</w:t>
      </w:r>
    </w:p>
    <w:p>
      <w:pPr>
        <w:pStyle w:val="Style5"/>
        <w:keepNext/>
        <w:keepLines/>
        <w:widowControl w:val="0"/>
        <w:numPr>
          <w:ilvl w:val="0"/>
          <w:numId w:val="9"/>
        </w:numPr>
        <w:shd w:val="clear" w:color="auto" w:fill="auto"/>
        <w:tabs>
          <w:tab w:pos="474" w:val="left"/>
        </w:tabs>
        <w:bidi w:val="0"/>
        <w:spacing w:before="0" w:after="0" w:line="240" w:lineRule="auto"/>
        <w:ind w:left="0" w:right="0" w:firstLine="0"/>
        <w:jc w:val="left"/>
      </w:pPr>
      <w:bookmarkStart w:id="44" w:name="bookmark44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Успехи, достижения, показатели эффективности работы:</w:t>
      </w:r>
      <w:bookmarkEnd w:id="44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численность долгожителей в стационарных отделениях - 7 чел. (возраст 90+)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4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Активное взаимодействие с благотворительными фондами, волонтерским организациями в целях повышения качества предоставляемых социальных услуг ПСУ всех категорий.</w:t>
      </w:r>
    </w:p>
    <w:p>
      <w:pPr>
        <w:pStyle w:val="Style5"/>
        <w:keepNext/>
        <w:keepLines/>
        <w:widowControl w:val="0"/>
        <w:numPr>
          <w:ilvl w:val="0"/>
          <w:numId w:val="9"/>
        </w:numPr>
        <w:shd w:val="clear" w:color="auto" w:fill="auto"/>
        <w:tabs>
          <w:tab w:pos="474" w:val="left"/>
        </w:tabs>
        <w:bidi w:val="0"/>
        <w:spacing w:before="0" w:after="0" w:line="240" w:lineRule="auto"/>
        <w:ind w:left="0" w:right="0" w:firstLine="0"/>
        <w:jc w:val="left"/>
      </w:pPr>
      <w:bookmarkStart w:id="46" w:name="bookmark46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Участие специалистов и получателей социальных услуг в конкурсах:</w:t>
      </w:r>
      <w:bookmarkEnd w:id="46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Специалисты центра принимают участие в конкурсах профессионального мастерства, обучающих семинарах, вебинарах и курсах повышения квалификации.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Получатели социальных услуг отделений активного долголетия и отделений социальной реабилитации принимают активное участие в мастер-классах и открытых онлайн- занятиях по мастерству и творчеству, организованных в т.ч. территориальными структурными подразделениями Московской области при содействии Министерства социального развития Московской области, в т.ч. в рамках программы «Активное долголетие в Подмосковье».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Получатели социальных услуг отделений реабилитации несовершеннолетних с ограниченными умственными и физическими возможностями участвуют во Всероссийских творческих онлайн- конкурсах.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Статистика: 9 месяцев 2024 г. специалисты и получатели социальных услуг Центра приняли участие в 155 конкурсах федерального, регионального и муниципального значения.</w:t>
      </w:r>
    </w:p>
    <w:p>
      <w:pPr>
        <w:pStyle w:val="Style5"/>
        <w:keepNext/>
        <w:keepLines/>
        <w:widowControl w:val="0"/>
        <w:numPr>
          <w:ilvl w:val="0"/>
          <w:numId w:val="9"/>
        </w:numPr>
        <w:shd w:val="clear" w:color="auto" w:fill="auto"/>
        <w:tabs>
          <w:tab w:pos="474" w:val="left"/>
        </w:tabs>
        <w:bidi w:val="0"/>
        <w:spacing w:before="0" w:after="0" w:line="240" w:lineRule="auto"/>
        <w:ind w:left="0" w:right="0" w:firstLine="0"/>
        <w:jc w:val="left"/>
      </w:pPr>
      <w:bookmarkStart w:id="48" w:name="bookmark48"/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Учреждение оборудовано:</w:t>
      </w:r>
      <w:bookmarkEnd w:id="48"/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внутри помещений: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-датчиками пожарной сигнализации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датчиками охранной сигнализации;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первичными средствами пожаротушения (огнетушители);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внутренним противопожарным водопроводом;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пожарными трапами;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металлическими дверями;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противопожарными дверями;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СКУД;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электромеханическими турникетами;</w:t>
      </w:r>
    </w:p>
    <w:p>
      <w:pPr>
        <w:pStyle w:val="Style7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578" w:val="left"/>
        </w:tabs>
        <w:bidi w:val="0"/>
        <w:spacing w:before="0" w:after="26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ручными металлодетекторами;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-постами охраны ЧОП;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-переносными пультами управления КТС у охранников ЧОП;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-спецсредствами у охранников ЧОП, на прилегающей территории: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-К1111 (стационарные отделения)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-решетки и рольставни на окнах;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-металлические двери зданий и сооружений.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-распашные ворота с электроприводом. - кнопки вызова персонала.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Доступная среда</w:t>
      </w:r>
      <w:r>
        <w:rPr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: на всех территориях и в зданиях центра созданы условия для беспрепятственного передвижения маломобильных граждан: имеются пандусы, противоскользящие покрытия, оборудованные туалетные комнаты, имеются таблички со шрифтом Брайля, мнемосхемы.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 2025 год учреждение приняло участие в следующих мероприятиях: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7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конкурс «День защитников Отечества»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7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творческий конкурс «Дыхание Весны»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7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Всероссийская онлайн - олимпиада Учи.ру по окружающему миру и экологии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7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«В мире сказок»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2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литературно-музыкальный конкурс «Ее величество - женщина!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2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Областная интеллектуальная игра «Колесо истории - 2025»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2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«Магия настольной игры»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2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танцевальный фитнес-фестиваль «Танцуй с нами!»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382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Открытый квалификационный международный проект «Таланты России»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XI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-й конкурсный сезон - «Шире круг» посвящается дружбе.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патриотический проект «Рисуем победу»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творческий конкурс «Любимый мультфильм»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детский творческий конкурс «Вперед к звездам»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Х Международный творческий фестиваль «Мир без границ!»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Областная фотовыставка «В объективе победы»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Международный исторический диктант «Диктант победы в 2025г.»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Смотр творчества ветеранов войны и труда «Майский вальс»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«Память вечно жива!»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Областной танцевальный фестиваль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«WOW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-танцевФест»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«Исторического бального танца»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турнир по женскому мини водному поло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многожанровый фестиваль «Звенит Победой май цветущий!»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«Мое Подмосковье, мой город родной»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квест «Храним в сердцах великую победу»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XI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Московский областной чемпионат по профессиональному мастерству среди инвалидов и лиц с ОВЗ «Абилимпикс»-2025 - «3 место»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Дистанционное мероприятие по теме: «Летние забавы».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 xml:space="preserve">место в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этапе Кубка С.А. Карякина по быстрым шахматам.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  <w:tab w:pos="610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2 место в открытом шахматном турнире в рамках всероссийского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марафона «Сила России».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Большой фестиваль активного долголетия «Непреклонный возраст»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Зарница «Красноармейские Зори».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колокольный фестиваль «Серебряный звон».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Флешмоб-марафон «В ритме единства и дружбы»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танцевальный фестиваль «Спас для всех нас».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Фестиваль «Дружно величаем, три спаса отмечаем».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место в шахматном турнире в ТРЦ «Новоизмайловский».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место в шахматном турнире в ТРЦ «Новоизмайловский».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Благотворительный фонд социальных программ Московской области «Исток».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III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Благотворительный Всероссийский конкурс-фестиваль «Водевиль талантов» Диплом лауреата III степени.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300" w:right="0" w:hanging="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Всероссийский Фестиваль хореографического искусства и творчества «Прогрев».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05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VI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открытый конкурс «Краски детства».</w:t>
      </w:r>
      <w:r>
        <w:br w:type="page"/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Зональный областной турнир по настольному теннису.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товарищеский турнир по мини-футболу.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«Йога-источник молодости».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арт-фестиваль «Осень-художник вдохновения».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«Оздоровительный цигун».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320" w:right="0" w:hanging="3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Диплом Московской областной думы за реализацию программы «Активное долголетие».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320" w:right="0" w:hanging="3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инструментального музыкального конкурса народных инструментов «Серебряные виртуозы».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турнир по настольному теннису (зональный).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творческий турнир «Поэтический ринг».</w:t>
      </w:r>
    </w:p>
    <w:p>
      <w:pPr>
        <w:pStyle w:val="Style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613" w:val="left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хореографический конкурс «Танцы-мечта длинною в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жизнь».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636270</wp:posOffset>
                </wp:positionH>
                <wp:positionV relativeFrom="margin">
                  <wp:posOffset>2654935</wp:posOffset>
                </wp:positionV>
                <wp:extent cx="240665" cy="2038985"/>
                <wp:wrapSquare wrapText="righ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40665" cy="203898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50.100000000000001pt;margin-top:209.05000000000001pt;width:18.949999999999999pt;height:160.55000000000001pt;z-index:-125829375;mso-wrap-distance-left:9.pt;mso-wrap-distance-right:9.pt;mso-position-horizontal-relative:page;mso-position-vertical-relative:margin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square" side="right" anchorx="page"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V </w:t>
      </w: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многожанровый конкурс «Созвездие талантов».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Областное мероприятие «Ты-супер!».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Театральный фестиваль «Наши роли-только главные».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Фестиваль конкурс «Модное долголетие».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«Мы едины!».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«Рожденные в СССР».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«Точь в точь».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«Магия элегантного возраста».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Областной фестиваль «Серебряная марка».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  <w:lang w:val="ru-RU" w:eastAsia="ru-RU" w:bidi="ru-RU"/>
        </w:rPr>
        <w:t>Новогодний бал маскарад «Зимняя вальсовая фантазия».</w:t>
      </w:r>
      <w:r>
        <w:br w:type="page"/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 w:line="276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Отчет по обучению молодых людей с инвалидностью (18+) трудовым навыкам в</w:t>
        <w:br/>
        <w:t>быту и самостоятельной жизни за 2025 год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720" w:line="276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shd w:val="clear" w:color="auto" w:fill="auto"/>
          <w:lang w:val="ru-RU" w:eastAsia="ru-RU" w:bidi="ru-RU"/>
        </w:rPr>
        <w:t>ОСР № 2</w:t>
      </w:r>
    </w:p>
    <w:tbl>
      <w:tblPr>
        <w:tblOverlap w:val="never"/>
        <w:jc w:val="center"/>
        <w:tblLayout w:type="fixed"/>
      </w:tblPr>
      <w:tblGrid>
        <w:gridCol w:w="677"/>
        <w:gridCol w:w="3403"/>
        <w:gridCol w:w="5506"/>
      </w:tblGrid>
      <w:tr>
        <w:trPr>
          <w:trHeight w:val="566" w:hRule="exact"/>
        </w:trPr>
        <w:tc>
          <w:tcPr>
            <w:tcBorders>
              <w:top w:val="single" w:sz="4"/>
              <w:lef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№ п/п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Мероприятия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Примечание</w:t>
            </w:r>
          </w:p>
        </w:tc>
      </w:tr>
      <w:tr>
        <w:trPr>
          <w:trHeight w:val="2218" w:hRule="exact"/>
        </w:trPr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образования: «Основы кулинарии»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технологии приготовления разнообразных блюд, навыкам первичной обработки продуктов, приемам тепловой обработки, использование мелкой бытовой техники и ухода за ней, оформление блюд, сервировка стола, техника безопасности, выполнение поручений по уборке мастерской Кулинария.</w:t>
            </w:r>
          </w:p>
        </w:tc>
      </w:tr>
      <w:tr>
        <w:trPr>
          <w:trHeight w:val="5251" w:hRule="exact"/>
        </w:trPr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 по декоративно-прикладному искусству «Рукоделие»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технологиям создания изделий в технике: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ватная игрушка, вязание крючком, макраме,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бисероплетение, роспись по ткани, модульное оригами, валяния из шерсти, пластилинография, плетение из газетных трубочек, скрапбудинг, работа с природным материалом и бумагой. Обучение технике безопасности, навыкам подготовки к работе инструментов, навыкам организации рабочего места, уборки рабочего места, выполнение поручений по уборке мастерской</w:t>
            </w:r>
          </w:p>
        </w:tc>
      </w:tr>
      <w:tr>
        <w:trPr>
          <w:trHeight w:val="2218" w:hRule="exact"/>
        </w:trPr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 «Швейное дело»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ручному шитью, шитью на швейной машинке.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технологии и созданию швейных изделий: салфетки, прихватки, сумки, фартуки, мешочки, полотенце и т.п.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мелкому ремонту одежды: пришить пуговицу, зашить одежду, подшить брюки и т.п. Обучение трудовым навыкам глажение (утюжка)</w:t>
            </w:r>
          </w:p>
        </w:tc>
      </w:tr>
      <w:tr>
        <w:trPr>
          <w:trHeight w:val="250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4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 «Г ончарное дело»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Обучение: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технологии изготовления изделий из глины, работы с ангобами и глазурями, декорирование изделий, технике безопасности,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навыкам подготовки к работе инструментов, организации рабочего места, уборки рабочего места, выполнение поручений по уборке</w:t>
            </w:r>
          </w:p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мастерской</w:t>
            </w:r>
          </w:p>
        </w:tc>
      </w:tr>
    </w:tbl>
    <w:p>
      <w:pPr>
        <w:widowControl w:val="0"/>
        <w:spacing w:line="1" w:lineRule="exact"/>
      </w:pPr>
      <w:r>
        <w:br w:type="page"/>
      </w:r>
    </w:p>
    <w:tbl>
      <w:tblPr>
        <w:tblOverlap w:val="never"/>
        <w:jc w:val="center"/>
        <w:tblLayout w:type="fixed"/>
      </w:tblPr>
      <w:tblGrid>
        <w:gridCol w:w="677"/>
        <w:gridCol w:w="3403"/>
        <w:gridCol w:w="5506"/>
      </w:tblGrid>
      <w:tr>
        <w:trPr>
          <w:trHeight w:val="1949" w:hRule="exact"/>
        </w:trPr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 «Фотодело»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Обучение основам фотографии, проводить съемку в различных жанрах и условиях, создавать коллажи, технологическому процессу подготовки фотографий к печати и публикации в Интернет, навыкам работы со световым и съёмочным оборудованием, самостоятельно подготавливать творческие фотопроекты.</w:t>
            </w:r>
          </w:p>
        </w:tc>
      </w:tr>
      <w:tr>
        <w:trPr>
          <w:trHeight w:val="25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6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auto"/>
            <w:vAlign w:val="top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В рамках Программы дополнительного образования «Основы компьютерной грамотности »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auto"/>
            <w:vAlign w:val="bottom"/>
          </w:tcPr>
          <w:p>
            <w:pPr>
              <w:pStyle w:val="Style20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 xml:space="preserve">Обучение программам для работы с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en-US" w:bidi="en-US"/>
              </w:rPr>
              <w:t xml:space="preserve">BKWord, Exel HTML, Power Point,Photoshop,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ru-RU" w:eastAsia="ru-RU" w:bidi="ru-RU"/>
              </w:rPr>
              <w:t>основам работы в глобальных информационных сетях: умение работать с программами браузерами, сохранять информацию из сети интернет и использовать ее для создания собственных документов, понимать принципы работы электронной почты, проверять почтовые сообщения, создавать и отправлять простые письма.</w:t>
            </w:r>
          </w:p>
        </w:tc>
      </w:tr>
    </w:tbl>
    <w:sectPr>
      <w:footnotePr>
        <w:pos w:val="pageBottom"/>
        <w:numFmt w:val="decimal"/>
        <w:numRestart w:val="continuous"/>
      </w:footnotePr>
      <w:pgSz w:w="11900" w:h="16840"/>
      <w:pgMar w:top="636" w:right="577" w:bottom="6" w:left="983" w:header="208" w:footer="3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50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4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6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8">
    <w:multiLevelType w:val="multilevel"/>
    <w:lvl w:ilvl="0">
      <w:start w:val="12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10">
    <w:multiLevelType w:val="multilevel"/>
    <w:lvl w:ilvl="0">
      <w:start w:val="1"/>
      <w:numFmt w:val="bullet"/>
      <w:lvlText w:val="-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  <w:lang w:val="ru-RU" w:eastAsia="ru-RU" w:bidi="ru-RU"/>
    </w:rPr>
  </w:style>
  <w:style w:type="character" w:customStyle="1" w:styleId="CharStyle3">
    <w:name w:val="Основной текст (2)_"/>
    <w:basedOn w:val="DefaultParagraphFont"/>
    <w:link w:val="Style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CharStyle6">
    <w:name w:val="Заголовок №2_"/>
    <w:basedOn w:val="DefaultParagraphFont"/>
    <w:link w:val="Style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CharStyle8">
    <w:name w:val="Основной текст_"/>
    <w:basedOn w:val="DefaultParagraphFont"/>
    <w:link w:val="Style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CharStyle16">
    <w:name w:val="Заголовок №1_"/>
    <w:basedOn w:val="DefaultParagraphFont"/>
    <w:link w:val="Style1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A1A1A"/>
      <w:sz w:val="26"/>
      <w:szCs w:val="26"/>
      <w:u w:val="none"/>
      <w:lang w:val="en-US" w:eastAsia="en-US" w:bidi="en-US"/>
    </w:rPr>
  </w:style>
  <w:style w:type="character" w:customStyle="1" w:styleId="CharStyle21">
    <w:name w:val="Другое_"/>
    <w:basedOn w:val="DefaultParagraphFont"/>
    <w:link w:val="Styl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Style2">
    <w:name w:val="Основной текст (2)"/>
    <w:basedOn w:val="Normal"/>
    <w:link w:val="CharStyle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Style5">
    <w:name w:val="Заголовок №2"/>
    <w:basedOn w:val="Normal"/>
    <w:link w:val="CharStyle6"/>
    <w:pPr>
      <w:widowControl w:val="0"/>
      <w:shd w:val="clear" w:color="auto" w:fill="auto"/>
      <w:spacing w:line="271" w:lineRule="auto"/>
      <w:outlineLvl w:val="1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customStyle="1" w:styleId="Style7">
    <w:name w:val="Основной текст"/>
    <w:basedOn w:val="Normal"/>
    <w:link w:val="CharStyle8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Style15">
    <w:name w:val="Заголовок №1"/>
    <w:basedOn w:val="Normal"/>
    <w:link w:val="CharStyle16"/>
    <w:pPr>
      <w:widowControl w:val="0"/>
      <w:shd w:val="clear" w:color="auto" w:fill="auto"/>
      <w:spacing w:after="370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A1A1A"/>
      <w:sz w:val="26"/>
      <w:szCs w:val="26"/>
      <w:u w:val="none"/>
      <w:lang w:val="en-US" w:eastAsia="en-US" w:bidi="en-US"/>
    </w:rPr>
  </w:style>
  <w:style w:type="paragraph" w:customStyle="1" w:styleId="Style20">
    <w:name w:val="Другое"/>
    <w:basedOn w:val="Normal"/>
    <w:link w:val="CharStyle21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/>
  <dc:subject/>
  <dc:creator>Смирнова НН</dc:creator>
  <cp:keywords/>
</cp:coreProperties>
</file>